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様式第２号（第５条関係）</w:t>
      </w:r>
    </w:p>
    <w:p>
      <w:pPr>
        <w:pStyle w:val="0"/>
        <w:jc w:val="right"/>
        <w:rPr>
          <w:rFonts w:hint="default"/>
        </w:rPr>
      </w:pPr>
    </w:p>
    <w:p>
      <w:pPr>
        <w:pStyle w:val="0"/>
        <w:jc w:val="center"/>
        <w:outlineLvl w:val="0"/>
        <w:rPr>
          <w:rFonts w:hint="default" w:asciiTheme="minorEastAsia" w:hAnsiTheme="minorEastAsia" w:eastAsiaTheme="minorEastAsia"/>
          <w:b w:val="1"/>
          <w:sz w:val="28"/>
        </w:rPr>
      </w:pPr>
      <w:r>
        <w:rPr>
          <w:rFonts w:hint="eastAsia" w:asciiTheme="minorEastAsia" w:hAnsiTheme="minorEastAsia" w:eastAsiaTheme="minorEastAsia"/>
          <w:b w:val="1"/>
          <w:sz w:val="28"/>
        </w:rPr>
        <w:t>緊急通報システムＮＥＴ１１９利用条件規約同意書</w:t>
      </w:r>
    </w:p>
    <w:p>
      <w:pPr>
        <w:pStyle w:val="0"/>
        <w:rPr>
          <w:rFonts w:hint="default" w:asciiTheme="minorEastAsia" w:hAnsiTheme="minorEastAsia" w:eastAsiaTheme="minorEastAsia"/>
          <w:sz w:val="22"/>
        </w:rPr>
      </w:pPr>
    </w:p>
    <w:p>
      <w:pPr>
        <w:pStyle w:val="24"/>
        <w:numPr>
          <w:ilvl w:val="0"/>
          <w:numId w:val="1"/>
        </w:numPr>
        <w:ind w:left="630" w:leftChars="100"/>
        <w:rPr>
          <w:rFonts w:hint="default" w:asciiTheme="minorEastAsia" w:hAnsiTheme="minorEastAsia" w:eastAsiaTheme="minorEastAsia"/>
          <w:sz w:val="22"/>
        </w:rPr>
      </w:pPr>
      <w:r>
        <w:rPr>
          <w:rFonts w:hint="eastAsia" w:asciiTheme="minorEastAsia" w:hAnsiTheme="minorEastAsia" w:eastAsiaTheme="minorEastAsia"/>
          <w:sz w:val="22"/>
        </w:rPr>
        <w:t>緊急通報システムＮＥＴ１１９（以下「ＮＥＴ１１９」という。）の目的は，聴覚機能，言語機能等に障がいが有り，音声による緊急通報が困難である方が，携帯電話，スマートフォン等のインターネット機能を利用して，消防機関に緊急通報するためのサービスです。目的以外の使用はしないでください。</w:t>
      </w:r>
    </w:p>
    <w:p>
      <w:pPr>
        <w:pStyle w:val="24"/>
        <w:numPr>
          <w:ilvl w:val="0"/>
          <w:numId w:val="1"/>
        </w:numPr>
        <w:spacing w:before="172" w:beforeLines="50" w:beforeAutospacing="0"/>
        <w:ind w:left="630" w:leftChars="100"/>
        <w:rPr>
          <w:rFonts w:hint="default" w:asciiTheme="minorEastAsia" w:hAnsiTheme="minorEastAsia" w:eastAsiaTheme="minorEastAsia"/>
          <w:sz w:val="22"/>
        </w:rPr>
      </w:pPr>
      <w:r>
        <w:rPr>
          <w:rFonts w:hint="eastAsia" w:asciiTheme="minorEastAsia" w:hAnsiTheme="minorEastAsia" w:eastAsiaTheme="minorEastAsia"/>
          <w:sz w:val="22"/>
        </w:rPr>
        <w:t>ＮＥＴ１１９は，利用可能である携帯電話，スマートフォン等の通信機器を所持し，インターネット接続サービスを利用している必要があります。また，この利用条件規約のもとで提供されるものであり，予め定めた機能を超えて，利用者が望むサービス全ての実現を保証するものではありません。</w:t>
      </w:r>
    </w:p>
    <w:p>
      <w:pPr>
        <w:pStyle w:val="24"/>
        <w:numPr>
          <w:ilvl w:val="0"/>
          <w:numId w:val="1"/>
        </w:numPr>
        <w:spacing w:before="172" w:beforeLines="50" w:beforeAutospacing="0"/>
        <w:ind w:left="630" w:leftChars="100"/>
        <w:rPr>
          <w:rFonts w:hint="default" w:asciiTheme="minorEastAsia" w:hAnsiTheme="minorEastAsia" w:eastAsiaTheme="minorEastAsia"/>
          <w:sz w:val="22"/>
        </w:rPr>
      </w:pPr>
      <w:r>
        <w:rPr>
          <w:rFonts w:hint="eastAsia" w:asciiTheme="minorEastAsia" w:hAnsiTheme="minorEastAsia" w:eastAsiaTheme="minorEastAsia"/>
          <w:sz w:val="22"/>
        </w:rPr>
        <w:t>ＮＥＴ１１９を利用することができる区域は，水戸市，土浦市，古河市，石岡市，結城市，下妻市，常総市，常陸太田市，高萩市，北茨城市，笠間市，取手市，鹿嶋市，潮来市，守谷市，常陸大宮市，那珂市，筑西市，坂東市，かすみがうら市，桜川市，神栖市，行方市，鉾田市，つくばみらい市，小美玉市，茨城町，大洗町，城里町，大子町，八千代町，五霞町及び境町内に限ります。</w:t>
      </w:r>
    </w:p>
    <w:p>
      <w:pPr>
        <w:pStyle w:val="24"/>
        <w:numPr>
          <w:ilvl w:val="0"/>
          <w:numId w:val="1"/>
        </w:numPr>
        <w:spacing w:before="172" w:beforeLines="50" w:beforeAutospacing="0"/>
        <w:ind w:left="630" w:leftChars="100"/>
        <w:rPr>
          <w:rFonts w:hint="default" w:asciiTheme="minorEastAsia" w:hAnsiTheme="minorEastAsia" w:eastAsiaTheme="minorEastAsia"/>
          <w:color w:val="000000" w:themeColor="text1"/>
          <w:sz w:val="22"/>
        </w:rPr>
      </w:pPr>
      <w:r>
        <w:rPr>
          <w:rFonts w:hint="eastAsia" w:asciiTheme="minorEastAsia" w:hAnsiTheme="minorEastAsia" w:eastAsiaTheme="minorEastAsia"/>
          <w:sz w:val="22"/>
        </w:rPr>
        <w:t>対象者は</w:t>
      </w:r>
      <w:r>
        <w:rPr>
          <w:rFonts w:hint="eastAsia" w:asciiTheme="minorEastAsia" w:hAnsiTheme="minorEastAsia" w:eastAsiaTheme="minorEastAsia"/>
          <w:color w:val="000000" w:themeColor="text1"/>
          <w:sz w:val="22"/>
        </w:rPr>
        <w:t>，市内に居住し，かつ，次の各号のいずれかに該当する方となります。</w:t>
      </w:r>
    </w:p>
    <w:p>
      <w:pPr>
        <w:pStyle w:val="0"/>
        <w:autoSpaceDE w:val="0"/>
        <w:autoSpaceDN w:val="0"/>
        <w:adjustRightInd w:val="0"/>
        <w:ind w:left="640" w:leftChars="200" w:hanging="220" w:hangingChars="100"/>
        <w:jc w:val="left"/>
        <w:rPr>
          <w:rFonts w:hint="default" w:ascii="ＭＳ 明朝" w:hAnsi="ＭＳ 明朝"/>
          <w:color w:val="000000"/>
          <w:kern w:val="0"/>
        </w:rPr>
      </w:pPr>
      <w:r>
        <w:rPr>
          <w:rFonts w:hint="eastAsia" w:asciiTheme="minorEastAsia" w:hAnsiTheme="minorEastAsia" w:eastAsiaTheme="minorEastAsia"/>
          <w:color w:val="000000" w:themeColor="text1"/>
          <w:sz w:val="22"/>
        </w:rPr>
        <w:t xml:space="preserve">(1) </w:t>
      </w:r>
      <w:r>
        <w:rPr>
          <w:rFonts w:hint="eastAsia" w:ascii="ＭＳ 明朝" w:hAnsi="ＭＳ 明朝"/>
          <w:color w:val="000000"/>
          <w:kern w:val="0"/>
        </w:rPr>
        <w:t>身体障害者福祉法（昭和</w:t>
      </w:r>
      <w:r>
        <w:rPr>
          <w:rFonts w:hint="default" w:ascii="ＭＳ 明朝" w:hAnsi="ＭＳ 明朝"/>
          <w:color w:val="000000"/>
          <w:kern w:val="0"/>
        </w:rPr>
        <w:t xml:space="preserve">24 </w:t>
      </w:r>
      <w:r>
        <w:rPr>
          <w:rFonts w:hint="eastAsia" w:ascii="ＭＳ 明朝" w:hAnsi="ＭＳ 明朝"/>
          <w:color w:val="000000"/>
          <w:kern w:val="0"/>
        </w:rPr>
        <w:t>年法律第</w:t>
      </w:r>
      <w:r>
        <w:rPr>
          <w:rFonts w:hint="default" w:ascii="ＭＳ 明朝" w:hAnsi="ＭＳ 明朝"/>
          <w:color w:val="000000"/>
          <w:kern w:val="0"/>
        </w:rPr>
        <w:t xml:space="preserve">283 </w:t>
      </w:r>
      <w:r>
        <w:rPr>
          <w:rFonts w:hint="eastAsia" w:ascii="ＭＳ 明朝" w:hAnsi="ＭＳ 明朝"/>
          <w:color w:val="000000"/>
          <w:kern w:val="0"/>
        </w:rPr>
        <w:t>号）第</w:t>
      </w:r>
      <w:r>
        <w:rPr>
          <w:rFonts w:hint="default" w:ascii="ＭＳ 明朝" w:hAnsi="ＭＳ 明朝"/>
          <w:color w:val="000000"/>
          <w:kern w:val="0"/>
        </w:rPr>
        <w:t xml:space="preserve">15 </w:t>
      </w:r>
      <w:r>
        <w:rPr>
          <w:rFonts w:hint="eastAsia" w:ascii="ＭＳ 明朝" w:hAnsi="ＭＳ 明朝"/>
          <w:color w:val="000000"/>
          <w:kern w:val="0"/>
        </w:rPr>
        <w:t>条に規定する身体障害者手帳（以下「手帳」という。）を有する者で，聴覚若しくは平衡機能の障がい又は音声機能，言語機能若しくはそしゃく機能の障がいによる言語機能に障がいを有する者。</w:t>
      </w:r>
    </w:p>
    <w:p>
      <w:pPr>
        <w:pStyle w:val="0"/>
        <w:autoSpaceDE w:val="0"/>
        <w:autoSpaceDN w:val="0"/>
        <w:adjustRightInd w:val="0"/>
        <w:ind w:left="210" w:leftChars="100" w:firstLine="220" w:firstLineChars="100"/>
        <w:jc w:val="left"/>
        <w:rPr>
          <w:rFonts w:hint="default" w:ascii="ＭＳ 明朝" w:hAnsi="ＭＳ 明朝"/>
          <w:color w:val="000000"/>
          <w:kern w:val="0"/>
        </w:rPr>
      </w:pPr>
      <w:r>
        <w:rPr>
          <w:rFonts w:hint="eastAsia" w:asciiTheme="minorEastAsia" w:hAnsiTheme="minorEastAsia" w:eastAsiaTheme="minorEastAsia"/>
          <w:color w:val="000000" w:themeColor="text1"/>
          <w:sz w:val="22"/>
        </w:rPr>
        <w:t xml:space="preserve">(2) </w:t>
      </w:r>
      <w:r>
        <w:rPr>
          <w:rFonts w:hint="eastAsia" w:ascii="ＭＳ 明朝" w:hAnsi="ＭＳ 明朝"/>
          <w:color w:val="000000"/>
          <w:kern w:val="0"/>
        </w:rPr>
        <w:t>手帳を有する者で，脳性麻痺による構音障害を有する者。</w:t>
      </w:r>
    </w:p>
    <w:p>
      <w:pPr>
        <w:pStyle w:val="0"/>
        <w:autoSpaceDE w:val="0"/>
        <w:autoSpaceDN w:val="0"/>
        <w:adjustRightInd w:val="0"/>
        <w:ind w:left="210" w:leftChars="100" w:firstLine="220" w:firstLineChars="100"/>
        <w:jc w:val="left"/>
        <w:rPr>
          <w:rFonts w:hint="default" w:ascii="ＭＳ 明朝" w:hAnsi="ＭＳ 明朝"/>
          <w:color w:val="000000"/>
          <w:kern w:val="0"/>
        </w:rPr>
      </w:pPr>
      <w:r>
        <w:rPr>
          <w:rFonts w:hint="eastAsia" w:asciiTheme="minorEastAsia" w:hAnsiTheme="minorEastAsia" w:eastAsiaTheme="minorEastAsia"/>
          <w:color w:val="000000" w:themeColor="text1"/>
          <w:sz w:val="22"/>
        </w:rPr>
        <w:t xml:space="preserve">(3) </w:t>
      </w:r>
      <w:r>
        <w:rPr>
          <w:rFonts w:hint="eastAsia" w:ascii="ＭＳ 明朝" w:hAnsi="ＭＳ 明朝"/>
          <w:color w:val="000000"/>
          <w:kern w:val="0"/>
        </w:rPr>
        <w:t>前２号に掲げる者と同等の障がいを有すると市長が認める者。</w:t>
      </w:r>
    </w:p>
    <w:p>
      <w:pPr>
        <w:pStyle w:val="24"/>
        <w:numPr>
          <w:ilvl w:val="0"/>
          <w:numId w:val="1"/>
        </w:numPr>
        <w:spacing w:before="172" w:beforeLines="50" w:beforeAutospacing="0"/>
        <w:ind w:left="630" w:leftChars="100"/>
        <w:rPr>
          <w:rFonts w:hint="default" w:asciiTheme="minorEastAsia" w:hAnsiTheme="minorEastAsia" w:eastAsiaTheme="minorEastAsia"/>
          <w:sz w:val="22"/>
        </w:rPr>
      </w:pPr>
      <w:r>
        <w:rPr>
          <w:rFonts w:hint="eastAsia" w:asciiTheme="minorEastAsia" w:hAnsiTheme="minorEastAsia" w:eastAsiaTheme="minorEastAsia"/>
          <w:sz w:val="22"/>
        </w:rPr>
        <w:t>ＮＥＴ１１９は登録制のサービスです。この利用条件規約同意書及び利用登録申請書を指定された窓口に提出して登録してください。</w:t>
      </w:r>
    </w:p>
    <w:p>
      <w:pPr>
        <w:pStyle w:val="24"/>
        <w:numPr>
          <w:ilvl w:val="0"/>
          <w:numId w:val="1"/>
        </w:numPr>
        <w:spacing w:before="172" w:beforeLines="50" w:beforeAutospacing="0"/>
        <w:ind w:left="630" w:leftChars="100"/>
        <w:rPr>
          <w:rFonts w:hint="default" w:asciiTheme="minorEastAsia" w:hAnsiTheme="minorEastAsia" w:eastAsiaTheme="minorEastAsia"/>
          <w:sz w:val="22"/>
        </w:rPr>
      </w:pPr>
      <w:r>
        <w:rPr>
          <w:rFonts w:hint="eastAsia" w:asciiTheme="minorEastAsia" w:hAnsiTheme="minorEastAsia" w:eastAsiaTheme="minorEastAsia"/>
          <w:sz w:val="22"/>
        </w:rPr>
        <w:t>登録の申請の窓口は，次の各号の機関となります。</w:t>
      </w:r>
    </w:p>
    <w:p>
      <w:pPr>
        <w:pStyle w:val="0"/>
        <w:ind w:firstLine="660" w:firstLineChars="30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鹿嶋市障がい福祉課</w:t>
      </w:r>
    </w:p>
    <w:p>
      <w:pPr>
        <w:pStyle w:val="24"/>
        <w:numPr>
          <w:ilvl w:val="0"/>
          <w:numId w:val="1"/>
        </w:numPr>
        <w:spacing w:before="172" w:beforeLines="50" w:beforeAutospacing="0"/>
        <w:ind w:left="630" w:leftChars="100"/>
        <w:rPr>
          <w:rFonts w:hint="default" w:asciiTheme="minorEastAsia" w:hAnsiTheme="minorEastAsia" w:eastAsiaTheme="minorEastAsia"/>
          <w:sz w:val="22"/>
        </w:rPr>
      </w:pPr>
      <w:bookmarkStart w:id="0" w:name="_GoBack"/>
      <w:bookmarkEnd w:id="0"/>
      <w:r>
        <w:rPr>
          <w:rFonts w:hint="eastAsia" w:asciiTheme="minorEastAsia" w:hAnsiTheme="minorEastAsia" w:eastAsiaTheme="minorEastAsia"/>
          <w:sz w:val="22"/>
        </w:rPr>
        <w:t>次の各号のいずれかに該当する変更があった場合は，速やかに窓口で必ず変更手続を行ってください。変更手続をされないと利用できない場合があります。</w:t>
      </w:r>
    </w:p>
    <w:p>
      <w:pPr>
        <w:pStyle w:val="0"/>
        <w:ind w:firstLine="440" w:firstLineChars="200"/>
        <w:rPr>
          <w:rFonts w:hint="default" w:asciiTheme="minorEastAsia" w:hAnsiTheme="minorEastAsia" w:eastAsiaTheme="minorEastAsia"/>
          <w:sz w:val="22"/>
        </w:rPr>
      </w:pPr>
      <w:r>
        <w:rPr>
          <w:rFonts w:hint="eastAsia" w:asciiTheme="minorEastAsia" w:hAnsiTheme="minorEastAsia" w:eastAsiaTheme="minorEastAsia"/>
          <w:sz w:val="22"/>
        </w:rPr>
        <w:t xml:space="preserve">(1) </w:t>
      </w:r>
      <w:r>
        <w:rPr>
          <w:rFonts w:hint="eastAsia" w:asciiTheme="minorEastAsia" w:hAnsiTheme="minorEastAsia" w:eastAsiaTheme="minorEastAsia"/>
          <w:sz w:val="22"/>
        </w:rPr>
        <w:t>利用登録申請書に記載した内容に変更が生じた場合</w:t>
      </w:r>
    </w:p>
    <w:p>
      <w:pPr>
        <w:pStyle w:val="0"/>
        <w:ind w:firstLine="440" w:firstLineChars="200"/>
        <w:rPr>
          <w:rFonts w:hint="default" w:asciiTheme="minorEastAsia" w:hAnsiTheme="minorEastAsia" w:eastAsiaTheme="minorEastAsia"/>
          <w:sz w:val="22"/>
        </w:rPr>
      </w:pPr>
      <w:r>
        <w:rPr>
          <w:rFonts w:hint="eastAsia" w:asciiTheme="minorEastAsia" w:hAnsiTheme="minorEastAsia" w:eastAsiaTheme="minorEastAsia"/>
          <w:sz w:val="22"/>
        </w:rPr>
        <w:t xml:space="preserve">(2) </w:t>
      </w:r>
      <w:r>
        <w:rPr>
          <w:rFonts w:hint="eastAsia" w:asciiTheme="minorEastAsia" w:hAnsiTheme="minorEastAsia" w:eastAsiaTheme="minorEastAsia"/>
          <w:sz w:val="22"/>
        </w:rPr>
        <w:t>利用を中止する場合</w:t>
      </w:r>
    </w:p>
    <w:p>
      <w:pPr>
        <w:pStyle w:val="0"/>
        <w:ind w:firstLine="440" w:firstLineChars="200"/>
        <w:rPr>
          <w:rFonts w:hint="default" w:asciiTheme="minorEastAsia" w:hAnsiTheme="minorEastAsia" w:eastAsiaTheme="minorEastAsia"/>
          <w:color w:val="FF0000"/>
          <w:sz w:val="22"/>
        </w:rPr>
      </w:pPr>
      <w:r>
        <w:rPr>
          <w:rFonts w:hint="eastAsia" w:asciiTheme="minorEastAsia" w:hAnsiTheme="minorEastAsia" w:eastAsiaTheme="minorEastAsia"/>
          <w:sz w:val="22"/>
        </w:rPr>
        <w:t xml:space="preserve">(3) </w:t>
      </w:r>
      <w:r>
        <w:rPr>
          <w:rFonts w:hint="eastAsia" w:asciiTheme="minorEastAsia" w:hAnsiTheme="minorEastAsia" w:eastAsiaTheme="minorEastAsia"/>
          <w:sz w:val="22"/>
        </w:rPr>
        <w:t>機種変更をした場合</w:t>
      </w:r>
    </w:p>
    <w:p>
      <w:pPr>
        <w:pStyle w:val="24"/>
        <w:numPr>
          <w:ilvl w:val="0"/>
          <w:numId w:val="1"/>
        </w:numPr>
        <w:spacing w:before="172" w:beforeLines="50" w:beforeAutospacing="0"/>
        <w:ind w:left="630" w:leftChars="100"/>
        <w:rPr>
          <w:rFonts w:hint="default" w:asciiTheme="minorEastAsia" w:hAnsiTheme="minorEastAsia" w:eastAsiaTheme="minorEastAsia"/>
          <w:sz w:val="22"/>
        </w:rPr>
      </w:pPr>
      <w:r>
        <w:rPr>
          <w:rFonts w:hint="eastAsia" w:asciiTheme="minorEastAsia" w:hAnsiTheme="minorEastAsia" w:eastAsiaTheme="minorEastAsia"/>
          <w:sz w:val="22"/>
        </w:rPr>
        <w:t>ＮＥＴ１１９を利用することができる区域内で，居住地を他市町に移動するときは，現居住地で利用中止の手続きを行い，新居住地で新規に登録をしてください。</w:t>
      </w:r>
    </w:p>
    <w:p>
      <w:pPr>
        <w:pStyle w:val="24"/>
        <w:numPr>
          <w:ilvl w:val="0"/>
          <w:numId w:val="1"/>
        </w:numPr>
        <w:spacing w:before="172" w:beforeLines="50" w:beforeAutospacing="0"/>
        <w:ind w:left="630" w:leftChars="100"/>
        <w:rPr>
          <w:rFonts w:hint="default" w:asciiTheme="minorEastAsia" w:hAnsiTheme="minorEastAsia" w:eastAsiaTheme="minorEastAsia"/>
          <w:sz w:val="22"/>
        </w:rPr>
      </w:pPr>
      <w:r>
        <w:rPr>
          <w:rFonts w:hint="eastAsia" w:asciiTheme="minorEastAsia" w:hAnsiTheme="minorEastAsia" w:eastAsiaTheme="minorEastAsia"/>
          <w:sz w:val="22"/>
        </w:rPr>
        <w:t>ＮＥＴ１１９の登録及び利用に伴う通信費用は，利用者の負担となります。</w:t>
      </w:r>
    </w:p>
    <w:p>
      <w:pPr>
        <w:pStyle w:val="24"/>
        <w:numPr>
          <w:ilvl w:val="0"/>
          <w:numId w:val="1"/>
        </w:numPr>
        <w:spacing w:before="172" w:beforeLines="50" w:beforeAutospacing="0"/>
        <w:ind w:left="630" w:leftChars="100"/>
        <w:rPr>
          <w:rFonts w:hint="default" w:asciiTheme="minorEastAsia" w:hAnsiTheme="minorEastAsia" w:eastAsiaTheme="minorEastAsia"/>
          <w:sz w:val="22"/>
        </w:rPr>
      </w:pPr>
      <w:r>
        <w:rPr>
          <w:rFonts w:hint="eastAsia" w:asciiTheme="minorEastAsia" w:hAnsiTheme="minorEastAsia" w:eastAsiaTheme="minorEastAsia"/>
          <w:sz w:val="22"/>
        </w:rPr>
        <w:t>登録及び利用には，ＮＥＴ１１９システムからのメールを受信する必要があります。迷惑メール対策等の設定をされている場合は，設定内容によってはシステムからのメールを受信することができませんので，必ず「</w:t>
      </w:r>
      <w:r>
        <w:rPr>
          <w:rFonts w:hint="eastAsia" w:asciiTheme="minorEastAsia" w:hAnsiTheme="minorEastAsia" w:eastAsiaTheme="minorEastAsia"/>
          <w:sz w:val="22"/>
        </w:rPr>
        <w:t>web119.info</w:t>
      </w:r>
      <w:r>
        <w:rPr>
          <w:rFonts w:hint="eastAsia" w:asciiTheme="minorEastAsia" w:hAnsiTheme="minorEastAsia" w:eastAsiaTheme="minorEastAsia"/>
          <w:sz w:val="22"/>
        </w:rPr>
        <w:t>」ドメインを受信可能の設定にしてください。（操作方法は携帯電話キャリアにより異なります。不明な場合は，各携帯電話キャリアへ確認してください。）</w:t>
      </w:r>
    </w:p>
    <w:p>
      <w:pPr>
        <w:pStyle w:val="24"/>
        <w:numPr>
          <w:ilvl w:val="0"/>
          <w:numId w:val="1"/>
        </w:numPr>
        <w:spacing w:before="172" w:beforeLines="50" w:beforeAutospacing="0"/>
        <w:ind w:left="630" w:leftChars="100"/>
        <w:rPr>
          <w:rFonts w:hint="default" w:asciiTheme="minorEastAsia" w:hAnsiTheme="minorEastAsia" w:eastAsiaTheme="minorEastAsia"/>
          <w:sz w:val="22"/>
        </w:rPr>
      </w:pPr>
      <w:r>
        <w:rPr>
          <w:rFonts w:hint="eastAsia" w:asciiTheme="minorEastAsia" w:hAnsiTheme="minorEastAsia" w:eastAsiaTheme="minorEastAsia"/>
          <w:sz w:val="22"/>
        </w:rPr>
        <w:t>メンテナンス等のため，試験メール及び通知メールを送信する場合があります。</w:t>
      </w:r>
    </w:p>
    <w:p>
      <w:pPr>
        <w:pStyle w:val="24"/>
        <w:numPr>
          <w:ilvl w:val="0"/>
          <w:numId w:val="1"/>
        </w:numPr>
        <w:spacing w:before="172" w:beforeLines="50" w:beforeAutospacing="0"/>
        <w:ind w:left="630" w:leftChars="100"/>
        <w:rPr>
          <w:rFonts w:hint="default" w:asciiTheme="minorEastAsia" w:hAnsiTheme="minorEastAsia" w:eastAsiaTheme="minorEastAsia"/>
          <w:sz w:val="22"/>
        </w:rPr>
      </w:pPr>
      <w:r>
        <w:rPr>
          <w:rFonts w:hint="eastAsia" w:asciiTheme="minorEastAsia" w:hAnsiTheme="minorEastAsia" w:eastAsiaTheme="minorEastAsia"/>
          <w:sz w:val="22"/>
        </w:rPr>
        <w:t>緊急通報が受け付けられると確認メールが届きます。確認メールが届かない場合は，別の手段で緊急通報してください。</w:t>
      </w:r>
    </w:p>
    <w:p>
      <w:pPr>
        <w:pStyle w:val="24"/>
        <w:ind w:left="630" w:leftChars="300"/>
        <w:rPr>
          <w:rFonts w:hint="default" w:asciiTheme="minorEastAsia" w:hAnsiTheme="minorEastAsia" w:eastAsiaTheme="minorEastAsia"/>
          <w:sz w:val="22"/>
        </w:rPr>
      </w:pPr>
      <w:r>
        <w:rPr>
          <w:rFonts w:hint="eastAsia" w:asciiTheme="minorEastAsia" w:hAnsiTheme="minorEastAsia" w:eastAsiaTheme="minorEastAsia"/>
          <w:sz w:val="22"/>
        </w:rPr>
        <w:t>また，詳細な内容を確認するためにメール及びチャット機能を使用して連絡をすることがありますので，緊急通報後は緊急車両が到着するまで絶対に電源及び通信を切らないでください。</w:t>
      </w:r>
    </w:p>
    <w:p>
      <w:pPr>
        <w:pStyle w:val="24"/>
        <w:numPr>
          <w:ilvl w:val="0"/>
          <w:numId w:val="1"/>
        </w:numPr>
        <w:spacing w:before="172" w:beforeLines="50" w:beforeAutospacing="0"/>
        <w:ind w:left="630" w:leftChars="100"/>
        <w:rPr>
          <w:rFonts w:hint="default" w:asciiTheme="minorEastAsia" w:hAnsiTheme="minorEastAsia" w:eastAsiaTheme="minorEastAsia"/>
          <w:sz w:val="22"/>
        </w:rPr>
      </w:pPr>
      <w:r>
        <w:rPr>
          <w:rFonts w:hint="eastAsia" w:asciiTheme="minorEastAsia" w:hAnsiTheme="minorEastAsia" w:eastAsiaTheme="minorEastAsia"/>
          <w:sz w:val="22"/>
        </w:rPr>
        <w:t>インターネット通信は遅延等が発生する可能性があります。</w:t>
      </w:r>
    </w:p>
    <w:p>
      <w:pPr>
        <w:pStyle w:val="24"/>
        <w:numPr>
          <w:ilvl w:val="0"/>
          <w:numId w:val="1"/>
        </w:numPr>
        <w:spacing w:before="172" w:beforeLines="50" w:beforeAutospacing="0"/>
        <w:ind w:left="630" w:leftChars="100"/>
        <w:rPr>
          <w:rFonts w:hint="default" w:asciiTheme="minorEastAsia" w:hAnsiTheme="minorEastAsia" w:eastAsiaTheme="minorEastAsia"/>
          <w:sz w:val="22"/>
        </w:rPr>
      </w:pPr>
      <w:r>
        <w:rPr>
          <w:rFonts w:hint="eastAsia" w:asciiTheme="minorEastAsia" w:hAnsiTheme="minorEastAsia" w:eastAsiaTheme="minorEastAsia"/>
          <w:sz w:val="22"/>
        </w:rPr>
        <w:t>ＮＥＴ１１９は，次の各号の理由により利用できない場合があります。利用できない場合には，別の手段で緊急通報してください。</w:t>
      </w:r>
    </w:p>
    <w:p>
      <w:pPr>
        <w:pStyle w:val="0"/>
        <w:ind w:firstLine="440" w:firstLineChars="200"/>
        <w:rPr>
          <w:rFonts w:hint="default" w:asciiTheme="minorEastAsia" w:hAnsiTheme="minorEastAsia" w:eastAsiaTheme="minorEastAsia"/>
          <w:sz w:val="22"/>
        </w:rPr>
      </w:pPr>
      <w:r>
        <w:rPr>
          <w:rFonts w:hint="eastAsia" w:asciiTheme="minorEastAsia" w:hAnsiTheme="minorEastAsia" w:eastAsiaTheme="minorEastAsia"/>
          <w:sz w:val="22"/>
        </w:rPr>
        <w:t xml:space="preserve">(1) </w:t>
      </w:r>
      <w:r>
        <w:rPr>
          <w:rFonts w:hint="eastAsia" w:asciiTheme="minorEastAsia" w:hAnsiTheme="minorEastAsia" w:eastAsiaTheme="minorEastAsia"/>
          <w:sz w:val="22"/>
        </w:rPr>
        <w:t>システムの保守点検，不具合その他やむを得ない理由により，予告なく停止する場合</w:t>
      </w:r>
    </w:p>
    <w:p>
      <w:pPr>
        <w:pStyle w:val="0"/>
        <w:ind w:firstLine="440" w:firstLineChars="200"/>
        <w:rPr>
          <w:rFonts w:hint="default" w:asciiTheme="minorEastAsia" w:hAnsiTheme="minorEastAsia" w:eastAsiaTheme="minorEastAsia"/>
          <w:sz w:val="22"/>
        </w:rPr>
      </w:pPr>
      <w:r>
        <w:rPr>
          <w:rFonts w:hint="eastAsia" w:asciiTheme="minorEastAsia" w:hAnsiTheme="minorEastAsia" w:eastAsiaTheme="minorEastAsia"/>
          <w:sz w:val="22"/>
        </w:rPr>
        <w:t xml:space="preserve">(2) </w:t>
      </w:r>
      <w:r>
        <w:rPr>
          <w:rFonts w:hint="eastAsia" w:asciiTheme="minorEastAsia" w:hAnsiTheme="minorEastAsia" w:eastAsiaTheme="minorEastAsia"/>
          <w:sz w:val="22"/>
        </w:rPr>
        <w:t>携帯電話通信網を使用するため，通信状態に障害等がある場所にいる場合</w:t>
      </w:r>
    </w:p>
    <w:p>
      <w:pPr>
        <w:pStyle w:val="24"/>
        <w:numPr>
          <w:ilvl w:val="0"/>
          <w:numId w:val="1"/>
        </w:numPr>
        <w:spacing w:before="172" w:beforeLines="50" w:beforeAutospacing="0"/>
        <w:ind w:left="630" w:leftChars="100"/>
        <w:rPr>
          <w:rFonts w:hint="default" w:asciiTheme="minorEastAsia" w:hAnsiTheme="minorEastAsia" w:eastAsiaTheme="minorEastAsia"/>
          <w:sz w:val="22"/>
        </w:rPr>
      </w:pPr>
      <w:r>
        <w:rPr>
          <w:rFonts w:hint="eastAsia" w:asciiTheme="minorEastAsia" w:hAnsiTheme="minorEastAsia" w:eastAsiaTheme="minorEastAsia"/>
          <w:sz w:val="22"/>
        </w:rPr>
        <w:t>周囲に音声による緊急通報の可能な方がいる場合は，音声による緊急通報の依頼を優先してください。</w:t>
      </w:r>
    </w:p>
    <w:p>
      <w:pPr>
        <w:pStyle w:val="24"/>
        <w:numPr>
          <w:ilvl w:val="0"/>
          <w:numId w:val="1"/>
        </w:numPr>
        <w:spacing w:before="172" w:beforeLines="50" w:beforeAutospacing="0"/>
        <w:ind w:left="630" w:leftChars="100"/>
        <w:rPr>
          <w:rFonts w:hint="default" w:asciiTheme="minorEastAsia" w:hAnsiTheme="minorEastAsia" w:eastAsiaTheme="minorEastAsia"/>
          <w:sz w:val="22"/>
        </w:rPr>
      </w:pPr>
      <w:r>
        <w:rPr>
          <w:rFonts w:hint="default" w:asciiTheme="minorEastAsia" w:hAnsiTheme="minorEastAsia" w:eastAsiaTheme="minorEastAsia"/>
          <w:sz w:val="22"/>
        </w:rPr>
        <w:t>GPS</w:t>
      </w:r>
      <w:r>
        <w:rPr>
          <w:rFonts w:hint="eastAsia" w:asciiTheme="minorEastAsia" w:hAnsiTheme="minorEastAsia" w:eastAsiaTheme="minorEastAsia"/>
          <w:sz w:val="22"/>
        </w:rPr>
        <w:t>機能によって得られる位置情報は，測位環境により誤差を生じるため，外出先から緊急通報する場合は，可能なかぎり現在地が特定できる情報（住所・近くにある目印・目標物等）を入力して送信してください。</w:t>
      </w:r>
    </w:p>
    <w:p>
      <w:pPr>
        <w:pStyle w:val="24"/>
        <w:numPr>
          <w:ilvl w:val="0"/>
          <w:numId w:val="1"/>
        </w:numPr>
        <w:spacing w:before="172" w:beforeLines="50" w:beforeAutospacing="0"/>
        <w:ind w:left="630" w:leftChars="100"/>
        <w:rPr>
          <w:rFonts w:hint="default" w:asciiTheme="minorEastAsia" w:hAnsiTheme="minorEastAsia" w:eastAsiaTheme="minorEastAsia"/>
          <w:sz w:val="22"/>
        </w:rPr>
      </w:pPr>
      <w:r>
        <w:rPr>
          <w:rFonts w:hint="eastAsia" w:asciiTheme="minorEastAsia" w:hAnsiTheme="minorEastAsia" w:eastAsiaTheme="minorEastAsia"/>
          <w:sz w:val="22"/>
        </w:rPr>
        <w:t>絵文字の使用はしないでください。</w:t>
      </w:r>
    </w:p>
    <w:p>
      <w:pPr>
        <w:pStyle w:val="24"/>
        <w:numPr>
          <w:ilvl w:val="0"/>
          <w:numId w:val="1"/>
        </w:numPr>
        <w:spacing w:before="172" w:beforeLines="50" w:beforeAutospacing="0"/>
        <w:ind w:left="630" w:leftChars="100"/>
        <w:rPr>
          <w:rFonts w:hint="default" w:asciiTheme="minorEastAsia" w:hAnsiTheme="minorEastAsia" w:eastAsiaTheme="minorEastAsia"/>
          <w:sz w:val="22"/>
        </w:rPr>
      </w:pPr>
      <w:r>
        <w:rPr>
          <w:rFonts w:hint="eastAsia" w:asciiTheme="minorEastAsia" w:hAnsiTheme="minorEastAsia" w:eastAsiaTheme="minorEastAsia"/>
          <w:sz w:val="22"/>
        </w:rPr>
        <w:t>任意で登録する緊急連絡先には，必要に応じて昼夜を問わず連絡する可能性があります。</w:t>
      </w:r>
    </w:p>
    <w:p>
      <w:pPr>
        <w:pStyle w:val="24"/>
        <w:numPr>
          <w:ilvl w:val="0"/>
          <w:numId w:val="1"/>
        </w:numPr>
        <w:spacing w:before="172" w:beforeLines="50" w:beforeAutospacing="0"/>
        <w:ind w:left="630" w:leftChars="100"/>
        <w:rPr>
          <w:rFonts w:hint="default" w:asciiTheme="minorEastAsia" w:hAnsiTheme="minorEastAsia" w:eastAsiaTheme="minorEastAsia"/>
          <w:sz w:val="22"/>
        </w:rPr>
      </w:pPr>
      <w:r>
        <w:rPr>
          <w:rFonts w:hint="eastAsia" w:asciiTheme="minorEastAsia" w:hAnsiTheme="minorEastAsia" w:eastAsiaTheme="minorEastAsia"/>
          <w:sz w:val="22"/>
        </w:rPr>
        <w:t>登録された情報は市及び消防機関で利用するほか，必要に応じて関係機関（救急搬送先の病院，警察等）に提供することがあります。</w:t>
      </w:r>
    </w:p>
    <w:p>
      <w:pPr>
        <w:pStyle w:val="24"/>
        <w:numPr>
          <w:ilvl w:val="0"/>
          <w:numId w:val="1"/>
        </w:numPr>
        <w:spacing w:before="172" w:beforeLines="50" w:beforeAutospacing="0"/>
        <w:ind w:left="630" w:leftChars="100"/>
        <w:rPr>
          <w:rFonts w:hint="default" w:asciiTheme="minorEastAsia" w:hAnsiTheme="minorEastAsia" w:eastAsiaTheme="minorEastAsia"/>
          <w:sz w:val="22"/>
        </w:rPr>
      </w:pPr>
      <w:r>
        <w:rPr>
          <w:rFonts w:hint="eastAsia" w:asciiTheme="minorEastAsia" w:hAnsiTheme="minorEastAsia" w:eastAsiaTheme="minorEastAsia"/>
          <w:sz w:val="22"/>
        </w:rPr>
        <w:t>ＮＥＴ１１９の利用に伴ってコンピュータシステム用の機器に記録された利用者個人に関する情報（以下「個人情報」という。）は，当サービス提供の目的に限り取り扱われます。</w:t>
      </w:r>
    </w:p>
    <w:p>
      <w:pPr>
        <w:pStyle w:val="24"/>
        <w:numPr>
          <w:ilvl w:val="0"/>
          <w:numId w:val="1"/>
        </w:numPr>
        <w:spacing w:before="172" w:beforeLines="50" w:beforeAutospacing="0"/>
        <w:ind w:left="630" w:leftChars="100"/>
        <w:rPr>
          <w:rFonts w:hint="default" w:asciiTheme="minorEastAsia" w:hAnsiTheme="minorEastAsia" w:eastAsiaTheme="minorEastAsia"/>
          <w:sz w:val="22"/>
        </w:rPr>
      </w:pPr>
      <w:r>
        <w:rPr>
          <w:rFonts w:hint="eastAsia" w:asciiTheme="minorEastAsia" w:hAnsiTheme="minorEastAsia" w:eastAsiaTheme="minorEastAsia"/>
          <w:sz w:val="22"/>
        </w:rPr>
        <w:t>利用者が個人情報の削除を求めた場合であっても，コンピュータシステムのバックアップに伴い保存された個人情報については，削除を求めた日から削除までに最長</w:t>
      </w:r>
      <w:r>
        <w:rPr>
          <w:rFonts w:hint="default" w:asciiTheme="minorEastAsia" w:hAnsiTheme="minorEastAsia" w:eastAsiaTheme="minorEastAsia"/>
          <w:sz w:val="22"/>
        </w:rPr>
        <w:t>31</w:t>
      </w:r>
      <w:r>
        <w:rPr>
          <w:rFonts w:hint="eastAsia" w:asciiTheme="minorEastAsia" w:hAnsiTheme="minorEastAsia" w:eastAsiaTheme="minorEastAsia"/>
          <w:sz w:val="22"/>
        </w:rPr>
        <w:t>日間かかる場合があります。</w:t>
      </w:r>
    </w:p>
    <w:tbl>
      <w:tblPr>
        <w:tblStyle w:val="29"/>
        <w:tblW w:w="9039" w:type="dxa"/>
        <w:jc w:val="center"/>
        <w:tblInd w:w="0" w:type="dxa"/>
        <w:tblLayout w:type="fixed"/>
        <w:tblLook w:firstRow="1" w:lastRow="0" w:firstColumn="1" w:lastColumn="0" w:noHBand="0" w:noVBand="1" w:val="04A0"/>
      </w:tblPr>
      <w:tblGrid>
        <w:gridCol w:w="9039"/>
      </w:tblGrid>
      <w:tr>
        <w:trPr>
          <w:trHeight w:val="161" w:hRule="atLeast"/>
        </w:trPr>
        <w:tc>
          <w:tcPr>
            <w:tcW w:w="9039" w:type="dxa"/>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署　名　欄</w:t>
            </w:r>
          </w:p>
        </w:tc>
      </w:tr>
      <w:tr>
        <w:trPr>
          <w:trHeight w:val="2506" w:hRule="atLeast"/>
        </w:trPr>
        <w:tc>
          <w:tcPr>
            <w:tcW w:w="9039" w:type="dxa"/>
            <w:vAlign w:val="top"/>
          </w:tcPr>
          <w:p>
            <w:pPr>
              <w:pStyle w:val="0"/>
              <w:spacing w:before="172" w:beforeLines="50" w:beforeAutospacing="0"/>
              <w:ind w:firstLine="220" w:firstLineChars="100"/>
              <w:jc w:val="left"/>
              <w:rPr>
                <w:rFonts w:hint="default" w:asciiTheme="minorEastAsia" w:hAnsiTheme="minorEastAsia" w:eastAsiaTheme="minorEastAsia"/>
                <w:sz w:val="22"/>
              </w:rPr>
            </w:pPr>
            <w:r>
              <w:rPr>
                <w:rFonts w:hint="eastAsia" w:asciiTheme="minorEastAsia" w:hAnsiTheme="minorEastAsia" w:eastAsiaTheme="minorEastAsia"/>
                <w:sz w:val="22"/>
              </w:rPr>
              <w:t>私は，鹿嶋市ＮＥＴ１１９利用条件規約に記載する事項に同意の上，利用登録の申請をいたします。</w:t>
            </w:r>
          </w:p>
          <w:p>
            <w:pPr>
              <w:pStyle w:val="0"/>
              <w:spacing w:before="172" w:beforeLines="50" w:beforeAutospacing="0"/>
              <w:ind w:left="283" w:leftChars="135"/>
              <w:jc w:val="left"/>
              <w:rPr>
                <w:rFonts w:hint="default" w:asciiTheme="minorEastAsia" w:hAnsiTheme="minorEastAsia" w:eastAsiaTheme="minorEastAsia"/>
                <w:sz w:val="22"/>
                <w:u w:val="single" w:color="auto"/>
              </w:rPr>
            </w:pPr>
            <w:r>
              <w:rPr>
                <w:rFonts w:hint="eastAsia" w:asciiTheme="minorEastAsia" w:hAnsiTheme="minorEastAsia" w:eastAsiaTheme="minorEastAsia"/>
                <w:sz w:val="22"/>
                <w:u w:val="single" w:color="auto"/>
              </w:rPr>
              <w:t>同意年月日：　　　　　年　　　月　　　日</w:t>
            </w:r>
          </w:p>
          <w:p>
            <w:pPr>
              <w:pStyle w:val="0"/>
              <w:spacing w:before="344" w:beforeLines="100" w:beforeAutospacing="0"/>
              <w:ind w:left="3826" w:leftChars="1822"/>
              <w:jc w:val="left"/>
              <w:rPr>
                <w:rFonts w:hint="default" w:asciiTheme="minorEastAsia" w:hAnsiTheme="minorEastAsia" w:eastAsiaTheme="minorEastAsia"/>
                <w:sz w:val="22"/>
                <w:u w:val="single" w:color="auto"/>
              </w:rPr>
            </w:pPr>
            <w:r>
              <w:rPr>
                <w:rFonts w:hint="eastAsia" w:asciiTheme="minorEastAsia" w:hAnsiTheme="minorEastAsia" w:eastAsiaTheme="minorEastAsia"/>
                <w:sz w:val="22"/>
                <w:u w:val="single" w:color="auto"/>
              </w:rPr>
              <w:t>住所：　　　　　　　　　　　　　　　　　　　　　　　</w:t>
            </w:r>
          </w:p>
          <w:p>
            <w:pPr>
              <w:pStyle w:val="0"/>
              <w:spacing w:before="344" w:beforeLines="100" w:beforeAutospacing="0" w:after="172" w:afterLines="50" w:afterAutospacing="0"/>
              <w:ind w:left="3826" w:leftChars="1822"/>
              <w:jc w:val="left"/>
              <w:rPr>
                <w:rFonts w:hint="default" w:asciiTheme="minorEastAsia" w:hAnsiTheme="minorEastAsia" w:eastAsiaTheme="minorEastAsia"/>
                <w:sz w:val="22"/>
                <w:u w:val="single" w:color="auto"/>
              </w:rPr>
            </w:pPr>
            <w:r>
              <w:rPr>
                <w:rFonts w:hint="eastAsia" w:asciiTheme="minorEastAsia" w:hAnsiTheme="minorEastAsia" w:eastAsiaTheme="minorEastAsia"/>
                <w:sz w:val="22"/>
                <w:u w:val="single" w:color="auto"/>
              </w:rPr>
              <w:t>氏名：　　　　　　　　　　　　　　　　　　　　　　　</w:t>
            </w:r>
          </w:p>
        </w:tc>
      </w:tr>
    </w:tbl>
    <w:p>
      <w:pPr>
        <w:pStyle w:val="0"/>
        <w:jc w:val="left"/>
        <w:rPr>
          <w:rFonts w:hint="default" w:asciiTheme="minorEastAsia" w:hAnsiTheme="minorEastAsia" w:eastAsiaTheme="minorEastAsia"/>
          <w:sz w:val="22"/>
        </w:rPr>
      </w:pPr>
    </w:p>
    <w:sectPr>
      <w:pgSz w:w="11906" w:h="16838"/>
      <w:pgMar w:top="851" w:right="1134" w:bottom="567" w:left="1134" w:header="851" w:footer="992" w:gutter="0"/>
      <w:cols w:space="720"/>
      <w:textDirection w:val="lrTb"/>
      <w:docGrid w:type="lines" w:linePitch="35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MS-Mincho">
    <w:panose1 w:val="00000000000000000000"/>
    <w:charset w:val="80"/>
    <w:family w:val="auto"/>
    <w:notTrueType/>
    <w:pitch w:val="fixed"/>
    <w:sig w:usb0="00000000" w:usb1="00000000" w:usb2="00000000" w:usb3="00000000" w:csb0="00000200" w:csb1="00000000"/>
  </w:font>
  <w:font w:name="ＭＳ 明朝">
    <w:panose1 w:val="00000800000000000000"/>
    <w:charset w:val="80"/>
    <w:family w:val="roman"/>
    <w:notTrueType/>
    <w:pitch w:val="fixed"/>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CE0C39A2"/>
    <w:lvl w:ilvl="0" w:tplc="0409000F">
      <w:start w:val="1"/>
      <w:numFmt w:val="decimal"/>
      <w:lvlText w:val="%1."/>
      <w:lvlJc w:val="left"/>
      <w:pPr>
        <w:ind w:left="420" w:hanging="420"/>
      </w:pPr>
    </w:lvl>
    <w:lvl w:ilvl="1" w:tplc="81E23518">
      <w:numFmt w:val="bullet"/>
      <w:lvlText w:val="○"/>
      <w:lvlJc w:val="left"/>
      <w:pPr>
        <w:ind w:left="780" w:hanging="360"/>
      </w:pPr>
      <w:rPr>
        <w:rFonts w:hint="eastAsia" w:ascii="ＭＳ ゴシック" w:hAnsi="ＭＳ ゴシック" w:eastAsia="ＭＳ ゴシック"/>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177"/>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ocument Map"/>
    <w:basedOn w:val="0"/>
    <w:next w:val="15"/>
    <w:link w:val="0"/>
    <w:uiPriority w:val="0"/>
    <w:semiHidden/>
    <w:pPr>
      <w:shd w:val="clear" w:color="auto" w:fill="000080"/>
    </w:pPr>
    <w:rPr>
      <w:rFonts w:ascii="Arial" w:hAnsi="Arial" w:eastAsia="ＭＳ ゴシック"/>
    </w:rPr>
  </w:style>
  <w:style w:type="character" w:styleId="16">
    <w:name w:val="annotation reference"/>
    <w:next w:val="16"/>
    <w:link w:val="0"/>
    <w:uiPriority w:val="0"/>
    <w:semiHidden/>
    <w:rPr>
      <w:sz w:val="18"/>
    </w:rPr>
  </w:style>
  <w:style w:type="paragraph" w:styleId="17">
    <w:name w:val="annotation text"/>
    <w:basedOn w:val="0"/>
    <w:next w:val="17"/>
    <w:link w:val="0"/>
    <w:uiPriority w:val="0"/>
    <w:semiHidden/>
    <w:pPr>
      <w:jc w:val="left"/>
    </w:pPr>
  </w:style>
  <w:style w:type="paragraph" w:styleId="18">
    <w:name w:val="annotation subject"/>
    <w:basedOn w:val="17"/>
    <w:next w:val="17"/>
    <w:link w:val="0"/>
    <w:uiPriority w:val="0"/>
    <w:semiHidden/>
    <w:rPr>
      <w:b w:val="1"/>
    </w:rPr>
  </w:style>
  <w:style w:type="paragraph" w:styleId="19">
    <w:name w:val="Balloon Text"/>
    <w:basedOn w:val="0"/>
    <w:next w:val="19"/>
    <w:link w:val="0"/>
    <w:uiPriority w:val="0"/>
    <w:semiHidden/>
    <w:rPr>
      <w:rFonts w:ascii="Arial" w:hAnsi="Arial" w:eastAsia="ＭＳ ゴシック"/>
      <w:sz w:val="18"/>
    </w:rPr>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basedOn w:val="10"/>
    <w:next w:val="21"/>
    <w:link w:val="20"/>
    <w:uiPriority w:val="0"/>
    <w:rPr>
      <w:kern w:val="2"/>
      <w:sz w:val="21"/>
    </w:rPr>
  </w:style>
  <w:style w:type="paragraph" w:styleId="22">
    <w:name w:val="footer"/>
    <w:basedOn w:val="0"/>
    <w:next w:val="22"/>
    <w:link w:val="23"/>
    <w:uiPriority w:val="0"/>
    <w:pPr>
      <w:tabs>
        <w:tab w:val="center" w:leader="none" w:pos="4252"/>
        <w:tab w:val="right" w:leader="none" w:pos="8504"/>
      </w:tabs>
      <w:snapToGrid w:val="0"/>
    </w:pPr>
  </w:style>
  <w:style w:type="character" w:styleId="23" w:customStyle="1">
    <w:name w:val="フッター (文字)"/>
    <w:basedOn w:val="10"/>
    <w:next w:val="23"/>
    <w:link w:val="22"/>
    <w:uiPriority w:val="0"/>
    <w:rPr>
      <w:kern w:val="2"/>
      <w:sz w:val="21"/>
    </w:rPr>
  </w:style>
  <w:style w:type="paragraph" w:styleId="24">
    <w:name w:val="List Paragraph"/>
    <w:basedOn w:val="0"/>
    <w:next w:val="24"/>
    <w:link w:val="0"/>
    <w:uiPriority w:val="0"/>
    <w:qFormat/>
    <w:pPr>
      <w:ind w:left="840" w:leftChars="400"/>
    </w:pPr>
  </w:style>
  <w:style w:type="paragraph" w:styleId="25">
    <w:name w:val="Closing"/>
    <w:basedOn w:val="0"/>
    <w:next w:val="25"/>
    <w:link w:val="26"/>
    <w:uiPriority w:val="0"/>
    <w:pPr>
      <w:jc w:val="right"/>
    </w:pPr>
  </w:style>
  <w:style w:type="character" w:styleId="26" w:customStyle="1">
    <w:name w:val="結語 (文字)"/>
    <w:basedOn w:val="10"/>
    <w:next w:val="26"/>
    <w:link w:val="25"/>
    <w:uiPriority w:val="0"/>
    <w:rPr>
      <w:kern w:val="2"/>
      <w:sz w:val="21"/>
    </w:r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table" w:styleId="29">
    <w:name w:val="Table Grid"/>
    <w:basedOn w:val="11"/>
    <w:next w:val="2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185</TotalTime>
  <Pages>2</Pages>
  <Words>16</Words>
  <Characters>2025</Characters>
  <Application>JUST Note</Application>
  <Lines>71</Lines>
  <Paragraphs>38</Paragraphs>
  <Company>tokyo</Company>
  <CharactersWithSpaces>2096</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Web119注意事項（案）</dc:title>
  <dc:creator>sasaki</dc:creator>
  <cp:lastModifiedBy>J24097</cp:lastModifiedBy>
  <cp:lastPrinted>2015-12-25T06:33:00Z</cp:lastPrinted>
  <dcterms:created xsi:type="dcterms:W3CDTF">2015-02-20T06:59:00Z</dcterms:created>
  <dcterms:modified xsi:type="dcterms:W3CDTF">2026-06-02T01:37:00Z</dcterms:modified>
  <cp:revision>27</cp:revision>
</cp:coreProperties>
</file>